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4E3F5">
      <w:pPr>
        <w:jc w:val="center"/>
        <w:rPr>
          <w:rFonts w:hint="eastAsia" w:asciiTheme="minorEastAsia" w:hAnsiTheme="minorEastAsia" w:cstheme="minorEastAsia"/>
          <w:b/>
          <w:bCs/>
          <w:color w:val="auto"/>
          <w:sz w:val="32"/>
          <w:szCs w:val="32"/>
          <w:highlight w:val="none"/>
          <w:lang w:val="en-US" w:eastAsia="zh-CN"/>
        </w:rPr>
      </w:pPr>
      <w:r>
        <w:rPr>
          <w:rFonts w:hint="eastAsia" w:asciiTheme="minorEastAsia" w:hAnsiTheme="minorEastAsia" w:cstheme="minorEastAsia"/>
          <w:b/>
          <w:bCs/>
          <w:color w:val="auto"/>
          <w:sz w:val="32"/>
          <w:szCs w:val="32"/>
          <w:highlight w:val="none"/>
          <w:lang w:val="en-US" w:eastAsia="zh-CN"/>
        </w:rPr>
        <w:t>常州市金坛区水北中学申请增容至500KVA变电工程</w:t>
      </w:r>
    </w:p>
    <w:p w14:paraId="67F38906">
      <w:pPr>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编制说明</w:t>
      </w:r>
    </w:p>
    <w:p w14:paraId="00A3CA4A">
      <w:pPr>
        <w:spacing w:line="360" w:lineRule="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28"/>
          <w:szCs w:val="28"/>
          <w:highlight w:val="none"/>
        </w:rPr>
        <w:t>一、</w:t>
      </w:r>
      <w:r>
        <w:rPr>
          <w:rFonts w:hint="eastAsia" w:asciiTheme="minorEastAsia" w:hAnsiTheme="minorEastAsia" w:eastAsiaTheme="minorEastAsia" w:cstheme="minorEastAsia"/>
          <w:b/>
          <w:color w:val="auto"/>
          <w:sz w:val="30"/>
          <w:szCs w:val="30"/>
          <w:highlight w:val="none"/>
        </w:rPr>
        <w:t>工程概况</w:t>
      </w:r>
    </w:p>
    <w:p w14:paraId="64DA642E">
      <w:pPr>
        <w:spacing w:line="360" w:lineRule="auto"/>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b w:val="0"/>
          <w:bCs w:val="0"/>
          <w:color w:val="auto"/>
          <w:sz w:val="28"/>
          <w:szCs w:val="28"/>
          <w:highlight w:val="none"/>
        </w:rPr>
        <w:t>本工程为</w:t>
      </w:r>
      <w:r>
        <w:rPr>
          <w:rFonts w:hint="eastAsia" w:asciiTheme="minorEastAsia" w:hAnsiTheme="minorEastAsia" w:cstheme="minorEastAsia"/>
          <w:b w:val="0"/>
          <w:bCs w:val="0"/>
          <w:color w:val="auto"/>
          <w:sz w:val="28"/>
          <w:szCs w:val="28"/>
          <w:highlight w:val="none"/>
          <w:lang w:val="en-US" w:eastAsia="zh-CN"/>
        </w:rPr>
        <w:t>常州市金坛区水北中学申请增容至500KVA变电工程</w:t>
      </w:r>
      <w:r>
        <w:rPr>
          <w:rFonts w:hint="eastAsia" w:asciiTheme="minorEastAsia" w:hAnsiTheme="minorEastAsia" w:eastAsiaTheme="minorEastAsia" w:cstheme="minorEastAsia"/>
          <w:b w:val="0"/>
          <w:bCs w:val="0"/>
          <w:color w:val="auto"/>
          <w:sz w:val="28"/>
          <w:szCs w:val="28"/>
          <w:highlight w:val="none"/>
        </w:rPr>
        <w:t>，</w:t>
      </w:r>
      <w:r>
        <w:rPr>
          <w:rFonts w:hint="eastAsia" w:asciiTheme="minorEastAsia" w:hAnsiTheme="minorEastAsia" w:eastAsiaTheme="minorEastAsia" w:cstheme="minorEastAsia"/>
          <w:color w:val="auto"/>
          <w:sz w:val="28"/>
          <w:szCs w:val="28"/>
          <w:highlight w:val="none"/>
        </w:rPr>
        <w:t>建设规模、工程特征、施工现场实际情况、交通运输情况、自然地理条件、环境保护要求等见招标文件，并要求投标单位现场踏勘。</w:t>
      </w:r>
    </w:p>
    <w:p w14:paraId="5D76F1F6">
      <w:pPr>
        <w:spacing w:line="360" w:lineRule="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28"/>
          <w:szCs w:val="28"/>
          <w:highlight w:val="none"/>
        </w:rPr>
        <w:t>二、</w:t>
      </w:r>
      <w:r>
        <w:rPr>
          <w:rFonts w:hint="eastAsia" w:asciiTheme="minorEastAsia" w:hAnsiTheme="minorEastAsia" w:eastAsiaTheme="minorEastAsia" w:cstheme="minorEastAsia"/>
          <w:b/>
          <w:color w:val="auto"/>
          <w:sz w:val="30"/>
          <w:szCs w:val="30"/>
          <w:highlight w:val="none"/>
        </w:rPr>
        <w:t>编制依据</w:t>
      </w:r>
    </w:p>
    <w:p w14:paraId="1ECF593B">
      <w:pPr>
        <w:numPr>
          <w:ilvl w:val="0"/>
          <w:numId w:val="1"/>
        </w:numPr>
        <w:tabs>
          <w:tab w:val="left" w:pos="360"/>
          <w:tab w:val="clear" w:pos="780"/>
        </w:tabs>
        <w:spacing w:line="360" w:lineRule="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根据</w:t>
      </w:r>
      <w:r>
        <w:rPr>
          <w:rFonts w:hint="eastAsia" w:asciiTheme="minorEastAsia" w:hAnsiTheme="minorEastAsia" w:cstheme="minorEastAsia"/>
          <w:color w:val="auto"/>
          <w:sz w:val="28"/>
          <w:szCs w:val="28"/>
          <w:highlight w:val="none"/>
          <w:lang w:val="en-US" w:eastAsia="zh-CN"/>
        </w:rPr>
        <w:t>施工图纸、</w:t>
      </w:r>
      <w:r>
        <w:rPr>
          <w:rFonts w:hint="eastAsia" w:asciiTheme="minorEastAsia" w:hAnsiTheme="minorEastAsia" w:eastAsiaTheme="minorEastAsia" w:cstheme="minorEastAsia"/>
          <w:color w:val="auto"/>
          <w:sz w:val="28"/>
          <w:szCs w:val="28"/>
          <w:highlight w:val="none"/>
        </w:rPr>
        <w:t>现场踏勘、测量、相关设计施工规范，编制清单。</w:t>
      </w:r>
    </w:p>
    <w:p w14:paraId="2C8B909F">
      <w:pPr>
        <w:numPr>
          <w:ilvl w:val="0"/>
          <w:numId w:val="1"/>
        </w:numPr>
        <w:spacing w:line="360" w:lineRule="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中华人民共和国建设部《建设工程工程量清单计价规范》（GB50500-2013）。</w:t>
      </w:r>
    </w:p>
    <w:p w14:paraId="198869A3">
      <w:pPr>
        <w:numPr>
          <w:ilvl w:val="0"/>
          <w:numId w:val="1"/>
        </w:numPr>
        <w:spacing w:line="360" w:lineRule="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江苏省建设工程工程量清单计价项目指引》、《2014年江苏省建筑与装饰工程计价表》、《2014年江苏省市政工程计价表》、《2014年江苏省安装工程计价表》、《江苏省房屋修缮工程计价表》（2009年）；《江苏省建设工程费用定额》（2014年）及营改增后调整内容（依据苏建价【2016】154号文件、常建【2016】94号及苏建函价【2019】178号文）、《省住房城乡建设厅关于调整建设工程按质论价等费用计取方法的公告》（省建设厅公告【2018】第24号文）、省建设厅公告【2019】第19号文等。</w:t>
      </w:r>
    </w:p>
    <w:tbl>
      <w:tblPr>
        <w:tblStyle w:val="5"/>
        <w:tblpPr w:leftFromText="180" w:rightFromText="180" w:vertAnchor="page" w:horzAnchor="page" w:tblpX="1564" w:tblpY="13731"/>
        <w:tblW w:w="874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243"/>
        <w:gridCol w:w="810"/>
        <w:gridCol w:w="825"/>
        <w:gridCol w:w="750"/>
        <w:gridCol w:w="765"/>
        <w:gridCol w:w="945"/>
        <w:gridCol w:w="870"/>
        <w:gridCol w:w="975"/>
        <w:gridCol w:w="810"/>
        <w:gridCol w:w="750"/>
      </w:tblGrid>
      <w:tr w14:paraId="5613CF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555" w:hRule="atLeast"/>
        </w:trPr>
        <w:tc>
          <w:tcPr>
            <w:tcW w:w="1243" w:type="dxa"/>
            <w:vAlign w:val="center"/>
          </w:tcPr>
          <w:p w14:paraId="58474FAC">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工程名称</w:t>
            </w:r>
          </w:p>
        </w:tc>
        <w:tc>
          <w:tcPr>
            <w:tcW w:w="810" w:type="dxa"/>
            <w:vAlign w:val="center"/>
          </w:tcPr>
          <w:p w14:paraId="79D7CA82">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安全文明施工基本费</w:t>
            </w:r>
          </w:p>
        </w:tc>
        <w:tc>
          <w:tcPr>
            <w:tcW w:w="825" w:type="dxa"/>
            <w:vAlign w:val="center"/>
          </w:tcPr>
          <w:p w14:paraId="5993A6E9">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扬尘污染防治增加费</w:t>
            </w:r>
          </w:p>
        </w:tc>
        <w:tc>
          <w:tcPr>
            <w:tcW w:w="750" w:type="dxa"/>
            <w:vAlign w:val="center"/>
          </w:tcPr>
          <w:p w14:paraId="158AB683">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夜间施工</w:t>
            </w:r>
          </w:p>
        </w:tc>
        <w:tc>
          <w:tcPr>
            <w:tcW w:w="765" w:type="dxa"/>
            <w:vAlign w:val="center"/>
          </w:tcPr>
          <w:p w14:paraId="75CCBC1A">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冬雨季施工</w:t>
            </w:r>
          </w:p>
        </w:tc>
        <w:tc>
          <w:tcPr>
            <w:tcW w:w="945" w:type="dxa"/>
            <w:vAlign w:val="center"/>
          </w:tcPr>
          <w:p w14:paraId="2F777EAA">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已完成工程及设备保护</w:t>
            </w:r>
          </w:p>
        </w:tc>
        <w:tc>
          <w:tcPr>
            <w:tcW w:w="870" w:type="dxa"/>
            <w:vAlign w:val="center"/>
          </w:tcPr>
          <w:p w14:paraId="2DFB7EE6">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临时设施</w:t>
            </w:r>
          </w:p>
        </w:tc>
        <w:tc>
          <w:tcPr>
            <w:tcW w:w="975" w:type="dxa"/>
            <w:vAlign w:val="center"/>
          </w:tcPr>
          <w:p w14:paraId="230B96E5">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社会保障费</w:t>
            </w:r>
          </w:p>
        </w:tc>
        <w:tc>
          <w:tcPr>
            <w:tcW w:w="810" w:type="dxa"/>
            <w:vAlign w:val="center"/>
          </w:tcPr>
          <w:p w14:paraId="2F13F9D6">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公积金</w:t>
            </w:r>
          </w:p>
        </w:tc>
        <w:tc>
          <w:tcPr>
            <w:tcW w:w="750" w:type="dxa"/>
            <w:vAlign w:val="center"/>
          </w:tcPr>
          <w:p w14:paraId="6BEF50E4">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税金</w:t>
            </w:r>
          </w:p>
        </w:tc>
      </w:tr>
      <w:tr w14:paraId="2271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243" w:type="dxa"/>
            <w:vAlign w:val="center"/>
          </w:tcPr>
          <w:p w14:paraId="67EAF8DC">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安装工程</w:t>
            </w:r>
          </w:p>
        </w:tc>
        <w:tc>
          <w:tcPr>
            <w:tcW w:w="810" w:type="dxa"/>
            <w:vAlign w:val="center"/>
          </w:tcPr>
          <w:p w14:paraId="2F0C902B">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1.5</w:t>
            </w:r>
          </w:p>
        </w:tc>
        <w:tc>
          <w:tcPr>
            <w:tcW w:w="825" w:type="dxa"/>
            <w:vAlign w:val="center"/>
          </w:tcPr>
          <w:p w14:paraId="6F49085E">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0.21</w:t>
            </w:r>
          </w:p>
        </w:tc>
        <w:tc>
          <w:tcPr>
            <w:tcW w:w="750" w:type="dxa"/>
            <w:vAlign w:val="center"/>
          </w:tcPr>
          <w:p w14:paraId="1BD11A36">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0.08</w:t>
            </w:r>
          </w:p>
        </w:tc>
        <w:tc>
          <w:tcPr>
            <w:tcW w:w="765" w:type="dxa"/>
            <w:vAlign w:val="center"/>
          </w:tcPr>
          <w:p w14:paraId="6C5C15A7">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0.09</w:t>
            </w:r>
          </w:p>
        </w:tc>
        <w:tc>
          <w:tcPr>
            <w:tcW w:w="945" w:type="dxa"/>
            <w:vAlign w:val="center"/>
          </w:tcPr>
          <w:p w14:paraId="3DFD5A0B">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0.05</w:t>
            </w:r>
          </w:p>
        </w:tc>
        <w:tc>
          <w:tcPr>
            <w:tcW w:w="870" w:type="dxa"/>
            <w:vAlign w:val="center"/>
          </w:tcPr>
          <w:p w14:paraId="0E5CCC20">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1.3</w:t>
            </w:r>
          </w:p>
        </w:tc>
        <w:tc>
          <w:tcPr>
            <w:tcW w:w="975" w:type="dxa"/>
            <w:vAlign w:val="center"/>
          </w:tcPr>
          <w:p w14:paraId="7A866C33">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2.4</w:t>
            </w:r>
          </w:p>
        </w:tc>
        <w:tc>
          <w:tcPr>
            <w:tcW w:w="810" w:type="dxa"/>
            <w:vAlign w:val="center"/>
          </w:tcPr>
          <w:p w14:paraId="31E79B80">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0.42</w:t>
            </w:r>
          </w:p>
        </w:tc>
        <w:tc>
          <w:tcPr>
            <w:tcW w:w="750" w:type="dxa"/>
            <w:vAlign w:val="center"/>
          </w:tcPr>
          <w:p w14:paraId="4C0B9A32">
            <w:pPr>
              <w:spacing w:line="240" w:lineRule="atLeas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9</w:t>
            </w:r>
          </w:p>
        </w:tc>
      </w:tr>
    </w:tbl>
    <w:p w14:paraId="5304A6B8">
      <w:pPr>
        <w:pStyle w:val="10"/>
        <w:numPr>
          <w:ilvl w:val="0"/>
          <w:numId w:val="1"/>
        </w:numPr>
        <w:spacing w:line="360" w:lineRule="auto"/>
        <w:ind w:firstLineChars="0"/>
        <w:rPr>
          <w:rFonts w:hint="eastAsia" w:asciiTheme="minorEastAsia" w:hAnsiTheme="minorEastAsia" w:eastAsiaTheme="minorEastAsia" w:cstheme="minorEastAsia"/>
          <w:bCs/>
          <w:color w:val="auto"/>
          <w:sz w:val="28"/>
          <w:szCs w:val="28"/>
          <w:highlight w:val="none"/>
        </w:rPr>
      </w:pPr>
      <w:r>
        <w:rPr>
          <w:rFonts w:hint="eastAsia" w:asciiTheme="minorEastAsia" w:hAnsiTheme="minorEastAsia" w:eastAsiaTheme="minorEastAsia" w:cstheme="minorEastAsia"/>
          <w:bCs/>
          <w:color w:val="auto"/>
          <w:sz w:val="28"/>
          <w:szCs w:val="28"/>
          <w:highlight w:val="none"/>
        </w:rPr>
        <w:t>本项目工程各单位工程总价措施、规费及税金取费如下表：</w:t>
      </w:r>
    </w:p>
    <w:p w14:paraId="19FA919A">
      <w:pPr>
        <w:numPr>
          <w:ilvl w:val="0"/>
          <w:numId w:val="1"/>
        </w:numPr>
        <w:spacing w:line="360" w:lineRule="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材料价格</w:t>
      </w:r>
      <w:r>
        <w:rPr>
          <w:rFonts w:hint="eastAsia" w:asciiTheme="minorEastAsia" w:hAnsiTheme="minorEastAsia" w:eastAsiaTheme="minorEastAsia" w:cstheme="minorEastAsia"/>
          <w:color w:val="auto"/>
          <w:kern w:val="0"/>
          <w:sz w:val="28"/>
          <w:szCs w:val="28"/>
          <w:highlight w:val="none"/>
        </w:rPr>
        <w:t>：按202</w:t>
      </w:r>
      <w:r>
        <w:rPr>
          <w:rFonts w:hint="eastAsia" w:asciiTheme="minorEastAsia" w:hAnsiTheme="minorEastAsia" w:cstheme="minorEastAsia"/>
          <w:color w:val="auto"/>
          <w:kern w:val="0"/>
          <w:sz w:val="28"/>
          <w:szCs w:val="28"/>
          <w:highlight w:val="none"/>
          <w:lang w:val="en-US" w:eastAsia="zh-CN"/>
        </w:rPr>
        <w:t>4</w:t>
      </w:r>
      <w:r>
        <w:rPr>
          <w:rFonts w:hint="eastAsia" w:asciiTheme="minorEastAsia" w:hAnsiTheme="minorEastAsia" w:eastAsiaTheme="minorEastAsia" w:cstheme="minorEastAsia"/>
          <w:color w:val="auto"/>
          <w:kern w:val="0"/>
          <w:sz w:val="28"/>
          <w:szCs w:val="28"/>
          <w:highlight w:val="none"/>
        </w:rPr>
        <w:t>年</w:t>
      </w:r>
      <w:r>
        <w:rPr>
          <w:rFonts w:hint="eastAsia" w:asciiTheme="minorEastAsia" w:hAnsiTheme="minorEastAsia" w:cstheme="minorEastAsia"/>
          <w:color w:val="auto"/>
          <w:kern w:val="0"/>
          <w:sz w:val="28"/>
          <w:szCs w:val="28"/>
          <w:highlight w:val="none"/>
          <w:lang w:val="en-US" w:eastAsia="zh-CN"/>
        </w:rPr>
        <w:t>8</w:t>
      </w:r>
      <w:r>
        <w:rPr>
          <w:rFonts w:hint="eastAsia" w:asciiTheme="minorEastAsia" w:hAnsiTheme="minorEastAsia" w:eastAsiaTheme="minorEastAsia" w:cstheme="minorEastAsia"/>
          <w:color w:val="auto"/>
          <w:kern w:val="0"/>
          <w:sz w:val="28"/>
          <w:szCs w:val="28"/>
          <w:highlight w:val="none"/>
        </w:rPr>
        <w:t>月份常州工程造价信息指导价</w:t>
      </w:r>
      <w:r>
        <w:rPr>
          <w:rFonts w:hint="eastAsia" w:asciiTheme="minorEastAsia" w:hAnsiTheme="minorEastAsia" w:cstheme="minorEastAsia"/>
          <w:color w:val="auto"/>
          <w:kern w:val="0"/>
          <w:sz w:val="28"/>
          <w:szCs w:val="28"/>
          <w:highlight w:val="none"/>
          <w:lang w:eastAsia="zh-CN"/>
        </w:rPr>
        <w:t>，如</w:t>
      </w:r>
      <w:r>
        <w:rPr>
          <w:rFonts w:hint="eastAsia" w:asciiTheme="minorEastAsia" w:hAnsiTheme="minorEastAsia" w:eastAsiaTheme="minorEastAsia" w:cstheme="minorEastAsia"/>
          <w:color w:val="auto"/>
          <w:kern w:val="0"/>
          <w:sz w:val="28"/>
          <w:szCs w:val="28"/>
          <w:highlight w:val="none"/>
        </w:rPr>
        <w:t>202</w:t>
      </w:r>
      <w:r>
        <w:rPr>
          <w:rFonts w:hint="eastAsia" w:asciiTheme="minorEastAsia" w:hAnsiTheme="minorEastAsia" w:cstheme="minorEastAsia"/>
          <w:color w:val="auto"/>
          <w:kern w:val="0"/>
          <w:sz w:val="28"/>
          <w:szCs w:val="28"/>
          <w:highlight w:val="none"/>
          <w:lang w:val="en-US" w:eastAsia="zh-CN"/>
        </w:rPr>
        <w:t>4</w:t>
      </w:r>
      <w:r>
        <w:rPr>
          <w:rFonts w:hint="eastAsia" w:asciiTheme="minorEastAsia" w:hAnsiTheme="minorEastAsia" w:eastAsiaTheme="minorEastAsia" w:cstheme="minorEastAsia"/>
          <w:color w:val="auto"/>
          <w:kern w:val="0"/>
          <w:sz w:val="28"/>
          <w:szCs w:val="28"/>
          <w:highlight w:val="none"/>
        </w:rPr>
        <w:t>年</w:t>
      </w:r>
      <w:r>
        <w:rPr>
          <w:rFonts w:hint="eastAsia" w:asciiTheme="minorEastAsia" w:hAnsiTheme="minorEastAsia" w:cstheme="minorEastAsia"/>
          <w:color w:val="auto"/>
          <w:kern w:val="0"/>
          <w:sz w:val="28"/>
          <w:szCs w:val="28"/>
          <w:highlight w:val="none"/>
          <w:lang w:val="en-US" w:eastAsia="zh-CN"/>
        </w:rPr>
        <w:t>8</w:t>
      </w:r>
      <w:r>
        <w:rPr>
          <w:rFonts w:hint="eastAsia" w:asciiTheme="minorEastAsia" w:hAnsiTheme="minorEastAsia" w:eastAsiaTheme="minorEastAsia" w:cstheme="minorEastAsia"/>
          <w:color w:val="auto"/>
          <w:kern w:val="0"/>
          <w:sz w:val="28"/>
          <w:szCs w:val="28"/>
          <w:highlight w:val="none"/>
        </w:rPr>
        <w:t>月份常州工程造价信息指导价</w:t>
      </w:r>
      <w:r>
        <w:rPr>
          <w:rFonts w:hint="eastAsia" w:asciiTheme="minorEastAsia" w:hAnsiTheme="minorEastAsia" w:cstheme="minorEastAsia"/>
          <w:color w:val="auto"/>
          <w:kern w:val="0"/>
          <w:sz w:val="28"/>
          <w:szCs w:val="28"/>
          <w:highlight w:val="none"/>
          <w:lang w:eastAsia="zh-CN"/>
        </w:rPr>
        <w:t>没有的依次前推</w:t>
      </w:r>
      <w:r>
        <w:rPr>
          <w:rFonts w:hint="eastAsia" w:asciiTheme="minorEastAsia" w:hAnsiTheme="minorEastAsia" w:eastAsiaTheme="minorEastAsia" w:cstheme="minorEastAsia"/>
          <w:color w:val="auto"/>
          <w:kern w:val="0"/>
          <w:sz w:val="28"/>
          <w:szCs w:val="28"/>
          <w:highlight w:val="none"/>
        </w:rPr>
        <w:t>及市场询价计入（以上均为除税价）。</w:t>
      </w:r>
    </w:p>
    <w:p w14:paraId="0BF1BDC1">
      <w:pPr>
        <w:numPr>
          <w:ilvl w:val="0"/>
          <w:numId w:val="1"/>
        </w:numPr>
        <w:spacing w:line="360" w:lineRule="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kern w:val="0"/>
          <w:sz w:val="28"/>
          <w:szCs w:val="28"/>
          <w:highlight w:val="none"/>
        </w:rPr>
        <w:t>本工程人工费按苏建函价[202</w:t>
      </w:r>
      <w:r>
        <w:rPr>
          <w:rFonts w:hint="eastAsia" w:asciiTheme="minorEastAsia" w:hAnsiTheme="minorEastAsia" w:cstheme="minorEastAsia"/>
          <w:color w:val="auto"/>
          <w:kern w:val="0"/>
          <w:sz w:val="28"/>
          <w:szCs w:val="28"/>
          <w:highlight w:val="none"/>
          <w:lang w:val="en-US" w:eastAsia="zh-CN"/>
        </w:rPr>
        <w:t>4</w:t>
      </w:r>
      <w:r>
        <w:rPr>
          <w:rFonts w:hint="eastAsia" w:asciiTheme="minorEastAsia" w:hAnsiTheme="minorEastAsia" w:eastAsiaTheme="minorEastAsia" w:cstheme="minorEastAsia"/>
          <w:color w:val="auto"/>
          <w:kern w:val="0"/>
          <w:sz w:val="28"/>
          <w:szCs w:val="28"/>
          <w:highlight w:val="none"/>
        </w:rPr>
        <w:t>]</w:t>
      </w:r>
      <w:r>
        <w:rPr>
          <w:rFonts w:hint="eastAsia" w:asciiTheme="minorEastAsia" w:hAnsiTheme="minorEastAsia" w:cstheme="minorEastAsia"/>
          <w:color w:val="auto"/>
          <w:kern w:val="0"/>
          <w:sz w:val="28"/>
          <w:szCs w:val="28"/>
          <w:highlight w:val="none"/>
          <w:lang w:val="en-US" w:eastAsia="zh-CN"/>
        </w:rPr>
        <w:t>83</w:t>
      </w:r>
      <w:r>
        <w:rPr>
          <w:rFonts w:hint="eastAsia" w:asciiTheme="minorEastAsia" w:hAnsiTheme="minorEastAsia" w:eastAsiaTheme="minorEastAsia" w:cstheme="minorEastAsia"/>
          <w:color w:val="auto"/>
          <w:kern w:val="0"/>
          <w:sz w:val="28"/>
          <w:szCs w:val="28"/>
          <w:highlight w:val="none"/>
        </w:rPr>
        <w:t>号文执行。</w:t>
      </w:r>
    </w:p>
    <w:p w14:paraId="6261E9CE">
      <w:pPr>
        <w:numPr>
          <w:ilvl w:val="0"/>
          <w:numId w:val="0"/>
        </w:numPr>
        <w:spacing w:line="360" w:lineRule="auto"/>
        <w:ind w:left="150" w:leftChars="0"/>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cstheme="minorEastAsia"/>
          <w:b/>
          <w:bCs/>
          <w:color w:val="auto"/>
          <w:sz w:val="32"/>
          <w:szCs w:val="32"/>
          <w:highlight w:val="none"/>
          <w:lang w:val="en-US" w:eastAsia="zh-CN"/>
        </w:rPr>
        <w:t>三、</w:t>
      </w:r>
      <w:r>
        <w:rPr>
          <w:rFonts w:hint="eastAsia" w:asciiTheme="minorEastAsia" w:hAnsiTheme="minorEastAsia" w:eastAsiaTheme="minorEastAsia" w:cstheme="minorEastAsia"/>
          <w:b/>
          <w:bCs/>
          <w:color w:val="auto"/>
          <w:sz w:val="32"/>
          <w:szCs w:val="32"/>
          <w:highlight w:val="none"/>
        </w:rPr>
        <w:t>安装</w:t>
      </w:r>
      <w:r>
        <w:rPr>
          <w:rFonts w:hint="eastAsia" w:asciiTheme="minorEastAsia" w:hAnsiTheme="minorEastAsia" w:eastAsiaTheme="minorEastAsia" w:cstheme="minorEastAsia"/>
          <w:b/>
          <w:bCs/>
          <w:color w:val="auto"/>
          <w:kern w:val="0"/>
          <w:sz w:val="32"/>
          <w:szCs w:val="32"/>
          <w:highlight w:val="none"/>
        </w:rPr>
        <w:t>部分</w:t>
      </w:r>
      <w:r>
        <w:rPr>
          <w:rFonts w:hint="eastAsia" w:asciiTheme="minorEastAsia" w:hAnsiTheme="minorEastAsia" w:eastAsiaTheme="minorEastAsia" w:cstheme="minorEastAsia"/>
          <w:b/>
          <w:bCs/>
          <w:color w:val="auto"/>
          <w:sz w:val="32"/>
          <w:szCs w:val="32"/>
          <w:highlight w:val="none"/>
        </w:rPr>
        <w:t>编制说明</w:t>
      </w:r>
      <w:bookmarkStart w:id="0" w:name="_GoBack"/>
      <w:bookmarkEnd w:id="0"/>
    </w:p>
    <w:p w14:paraId="1B07260F">
      <w:pPr>
        <w:pStyle w:val="10"/>
        <w:widowControl w:val="0"/>
        <w:numPr>
          <w:ilvl w:val="0"/>
          <w:numId w:val="0"/>
        </w:numPr>
        <w:tabs>
          <w:tab w:val="left" w:pos="502"/>
        </w:tabs>
        <w:spacing w:line="360" w:lineRule="auto"/>
        <w:ind w:left="279" w:leftChars="133" w:firstLine="0" w:firstLineChars="0"/>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1、本工程包含拆除原250kVA箱式变电站（拆除后运至招标人在本校区的指定位置“含装、运、卸等费用”），更换新的500kVA箱式变电站。</w:t>
      </w:r>
    </w:p>
    <w:p w14:paraId="73193BF1">
      <w:pPr>
        <w:pStyle w:val="10"/>
        <w:widowControl w:val="0"/>
        <w:numPr>
          <w:ilvl w:val="0"/>
          <w:numId w:val="0"/>
        </w:numPr>
        <w:tabs>
          <w:tab w:val="left" w:pos="502"/>
        </w:tabs>
        <w:spacing w:line="360" w:lineRule="auto"/>
        <w:ind w:left="240" w:hanging="240" w:hangingChars="100"/>
        <w:jc w:val="both"/>
        <w:rPr>
          <w:rFonts w:hint="eastAsia" w:ascii="宋体" w:hAnsi="宋体"/>
          <w:color w:val="auto"/>
          <w:sz w:val="28"/>
          <w:szCs w:val="28"/>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8"/>
          <w:szCs w:val="28"/>
          <w:highlight w:val="none"/>
          <w:lang w:val="en-US" w:eastAsia="zh-CN"/>
        </w:rPr>
        <w:t>2、箱式变电站利用原有箱变基础（各投标单位需现场勘察），电缆利用施工现场原有电缆不更换，原电缆头更换为新电缆头</w:t>
      </w:r>
      <w:r>
        <w:rPr>
          <w:rFonts w:hint="eastAsia" w:ascii="宋体" w:hAnsi="宋体"/>
          <w:color w:val="auto"/>
          <w:sz w:val="28"/>
          <w:szCs w:val="28"/>
          <w:highlight w:val="none"/>
          <w:lang w:val="en-US" w:eastAsia="zh-CN"/>
        </w:rPr>
        <w:t>。</w:t>
      </w:r>
    </w:p>
    <w:p w14:paraId="16239634">
      <w:pPr>
        <w:pStyle w:val="10"/>
        <w:widowControl w:val="0"/>
        <w:numPr>
          <w:ilvl w:val="0"/>
          <w:numId w:val="0"/>
        </w:numPr>
        <w:tabs>
          <w:tab w:val="left" w:pos="502"/>
        </w:tabs>
        <w:spacing w:line="360" w:lineRule="auto"/>
        <w:ind w:left="240" w:hanging="280" w:hangingChars="100"/>
        <w:jc w:val="both"/>
        <w:rPr>
          <w:rFonts w:hint="default" w:ascii="宋体" w:hAnsi="宋体"/>
          <w:color w:val="auto"/>
          <w:sz w:val="28"/>
          <w:szCs w:val="28"/>
          <w:highlight w:val="none"/>
          <w:lang w:val="en-US" w:eastAsia="zh-CN"/>
        </w:rPr>
      </w:pPr>
      <w:r>
        <w:rPr>
          <w:rFonts w:hint="eastAsia" w:ascii="宋体" w:hAnsi="宋体"/>
          <w:color w:val="auto"/>
          <w:sz w:val="28"/>
          <w:szCs w:val="28"/>
          <w:highlight w:val="none"/>
          <w:lang w:val="en-US" w:eastAsia="zh-CN"/>
        </w:rPr>
        <w:t xml:space="preserve">  3、接地部分，利用原有接地网，新增-50*5镀锌扁钢，从原有接地网引至新增500KVA箱式变所需求的接地点位并调试。</w:t>
      </w:r>
    </w:p>
    <w:p w14:paraId="26F3B754">
      <w:pPr>
        <w:keepNext w:val="0"/>
        <w:keepLines w:val="0"/>
        <w:pageBreakBefore w:val="0"/>
        <w:numPr>
          <w:ilvl w:val="0"/>
          <w:numId w:val="0"/>
        </w:numPr>
        <w:kinsoku/>
        <w:wordWrap/>
        <w:overflowPunct/>
        <w:topLinePunct w:val="0"/>
        <w:bidi w:val="0"/>
        <w:snapToGrid w:val="0"/>
        <w:spacing w:line="360" w:lineRule="auto"/>
        <w:ind w:left="284" w:leftChars="0"/>
        <w:rPr>
          <w:rFonts w:hint="eastAsia" w:ascii="宋体" w:hAnsi="宋体"/>
          <w:color w:val="auto"/>
          <w:sz w:val="28"/>
          <w:szCs w:val="28"/>
          <w:highlight w:val="none"/>
          <w:lang w:val="en-US" w:eastAsia="zh-CN"/>
        </w:rPr>
      </w:pPr>
      <w:r>
        <w:rPr>
          <w:rFonts w:hint="eastAsia" w:asciiTheme="minorEastAsia" w:hAnsiTheme="minorEastAsia" w:cstheme="minorEastAsia"/>
          <w:color w:val="auto"/>
          <w:sz w:val="28"/>
          <w:szCs w:val="28"/>
          <w:highlight w:val="none"/>
          <w:lang w:val="en-US" w:eastAsia="zh-CN"/>
        </w:rPr>
        <w:t>4</w:t>
      </w:r>
      <w:r>
        <w:rPr>
          <w:rFonts w:hint="eastAsia" w:asciiTheme="minorEastAsia" w:hAnsiTheme="minorEastAsia" w:eastAsiaTheme="minorEastAsia" w:cstheme="minorEastAsia"/>
          <w:color w:val="auto"/>
          <w:sz w:val="28"/>
          <w:szCs w:val="28"/>
          <w:highlight w:val="none"/>
          <w:lang w:val="en-US" w:eastAsia="zh-CN"/>
        </w:rPr>
        <w:t>、</w:t>
      </w:r>
      <w:r>
        <w:rPr>
          <w:rFonts w:hint="eastAsia" w:ascii="宋体" w:hAnsi="宋体"/>
          <w:color w:val="auto"/>
          <w:sz w:val="28"/>
          <w:szCs w:val="28"/>
          <w:highlight w:val="none"/>
          <w:lang w:val="en-US" w:eastAsia="zh-CN"/>
        </w:rPr>
        <w:t>垃圾清运费用已考虑在清单报价中，投标人自主报价，结算时不作调整。</w:t>
      </w:r>
    </w:p>
    <w:p w14:paraId="37F02BAF">
      <w:pPr>
        <w:keepNext w:val="0"/>
        <w:keepLines w:val="0"/>
        <w:pageBreakBefore w:val="0"/>
        <w:numPr>
          <w:ilvl w:val="0"/>
          <w:numId w:val="0"/>
        </w:numPr>
        <w:kinsoku/>
        <w:wordWrap/>
        <w:overflowPunct/>
        <w:topLinePunct w:val="0"/>
        <w:bidi w:val="0"/>
        <w:snapToGrid w:val="0"/>
        <w:spacing w:line="360" w:lineRule="auto"/>
        <w:ind w:left="284" w:leftChars="0"/>
        <w:rPr>
          <w:rFonts w:hint="eastAsia" w:ascii="宋体" w:hAnsi="宋体"/>
          <w:color w:val="auto"/>
          <w:sz w:val="28"/>
          <w:szCs w:val="28"/>
          <w:highlight w:val="none"/>
          <w:lang w:val="en-US" w:eastAsia="zh-CN"/>
        </w:rPr>
      </w:pPr>
      <w:r>
        <w:rPr>
          <w:rFonts w:hint="eastAsia" w:ascii="宋体" w:hAnsi="宋体"/>
          <w:color w:val="auto"/>
          <w:sz w:val="28"/>
          <w:szCs w:val="28"/>
          <w:highlight w:val="none"/>
          <w:lang w:val="en-US" w:eastAsia="zh-CN"/>
        </w:rPr>
        <w:t>5、本项目现场施工后垃圾清运费用、完工后恢复费用、各系统摸排费用、完工后各项调试费及其他相关费用均已考虑在本项目报价中，投标人报价时综合考虑此费用，结算时不作调整。</w:t>
      </w:r>
    </w:p>
    <w:p w14:paraId="6EA28A9B">
      <w:pPr>
        <w:keepNext w:val="0"/>
        <w:keepLines w:val="0"/>
        <w:pageBreakBefore w:val="0"/>
        <w:numPr>
          <w:ilvl w:val="0"/>
          <w:numId w:val="0"/>
        </w:numPr>
        <w:kinsoku/>
        <w:wordWrap/>
        <w:overflowPunct/>
        <w:topLinePunct w:val="0"/>
        <w:bidi w:val="0"/>
        <w:snapToGrid w:val="0"/>
        <w:spacing w:line="360" w:lineRule="auto"/>
        <w:ind w:left="279" w:leftChars="133" w:firstLine="0" w:firstLineChars="0"/>
        <w:rPr>
          <w:rFonts w:hint="eastAsia" w:ascii="宋体" w:hAnsi="宋体"/>
          <w:color w:val="auto"/>
          <w:sz w:val="28"/>
          <w:szCs w:val="28"/>
          <w:highlight w:val="none"/>
          <w:lang w:val="en-US" w:eastAsia="zh-CN"/>
        </w:rPr>
      </w:pPr>
      <w:r>
        <w:rPr>
          <w:rFonts w:hint="eastAsia" w:ascii="宋体" w:hAnsi="宋体"/>
          <w:color w:val="auto"/>
          <w:sz w:val="28"/>
          <w:szCs w:val="28"/>
          <w:highlight w:val="none"/>
          <w:lang w:val="en-US" w:eastAsia="zh-CN"/>
        </w:rPr>
        <w:t>6、市政部分：</w:t>
      </w:r>
    </w:p>
    <w:p w14:paraId="39FC3349">
      <w:pPr>
        <w:keepNext w:val="0"/>
        <w:keepLines w:val="0"/>
        <w:pageBreakBefore w:val="0"/>
        <w:numPr>
          <w:ilvl w:val="0"/>
          <w:numId w:val="0"/>
        </w:numPr>
        <w:kinsoku/>
        <w:wordWrap/>
        <w:overflowPunct/>
        <w:topLinePunct w:val="0"/>
        <w:bidi w:val="0"/>
        <w:snapToGrid w:val="0"/>
        <w:spacing w:line="360" w:lineRule="auto"/>
        <w:ind w:left="279" w:leftChars="133" w:firstLine="0" w:firstLineChars="0"/>
        <w:rPr>
          <w:rFonts w:hint="eastAsia" w:ascii="宋体" w:hAnsi="宋体"/>
          <w:color w:val="auto"/>
          <w:sz w:val="28"/>
          <w:szCs w:val="28"/>
          <w:highlight w:val="none"/>
          <w:lang w:val="en-US" w:eastAsia="zh-CN"/>
        </w:rPr>
      </w:pPr>
      <w:r>
        <w:rPr>
          <w:rFonts w:hint="eastAsia" w:ascii="宋体" w:hAnsi="宋体"/>
          <w:color w:val="auto"/>
          <w:sz w:val="28"/>
          <w:szCs w:val="28"/>
          <w:highlight w:val="none"/>
          <w:lang w:val="en-US" w:eastAsia="zh-CN"/>
        </w:rPr>
        <w:t>（1）、因招标人要求，箱变位置南侧约32m2的面积，需要人工场地平整，平整后铺600*300*20厚芝麻灰花岗岩火烧面新建汀步约20块（间距依据招标人需求）。</w:t>
      </w:r>
    </w:p>
    <w:p w14:paraId="11123010">
      <w:pPr>
        <w:keepNext w:val="0"/>
        <w:keepLines w:val="0"/>
        <w:pageBreakBefore w:val="0"/>
        <w:numPr>
          <w:ilvl w:val="0"/>
          <w:numId w:val="0"/>
        </w:numPr>
        <w:kinsoku/>
        <w:wordWrap/>
        <w:overflowPunct/>
        <w:topLinePunct w:val="0"/>
        <w:bidi w:val="0"/>
        <w:snapToGrid w:val="0"/>
        <w:spacing w:line="360" w:lineRule="auto"/>
        <w:ind w:left="279" w:leftChars="133" w:firstLine="0" w:firstLineChars="0"/>
        <w:rPr>
          <w:rFonts w:hint="eastAsia" w:ascii="宋体" w:hAnsi="宋体"/>
          <w:color w:val="auto"/>
          <w:sz w:val="28"/>
          <w:szCs w:val="28"/>
          <w:highlight w:val="none"/>
          <w:lang w:val="en-US" w:eastAsia="zh-CN"/>
        </w:rPr>
      </w:pPr>
      <w:r>
        <w:rPr>
          <w:rFonts w:hint="eastAsia" w:ascii="宋体" w:hAnsi="宋体"/>
          <w:color w:val="auto"/>
          <w:sz w:val="28"/>
          <w:szCs w:val="28"/>
          <w:highlight w:val="none"/>
          <w:lang w:val="en-US" w:eastAsia="zh-CN"/>
        </w:rPr>
        <w:t>（2）、更换预制钢筋砼电力井盖二块,规格为1500*500*100厚，四周镀锌槽钢包边，具体按甲方要求。</w:t>
      </w:r>
    </w:p>
    <w:p w14:paraId="7022576C">
      <w:pPr>
        <w:keepNext w:val="0"/>
        <w:keepLines w:val="0"/>
        <w:pageBreakBefore w:val="0"/>
        <w:numPr>
          <w:ilvl w:val="0"/>
          <w:numId w:val="0"/>
        </w:numPr>
        <w:kinsoku/>
        <w:wordWrap/>
        <w:overflowPunct/>
        <w:topLinePunct w:val="0"/>
        <w:bidi w:val="0"/>
        <w:snapToGrid w:val="0"/>
        <w:spacing w:line="360" w:lineRule="auto"/>
        <w:ind w:left="279" w:leftChars="133" w:firstLine="4480" w:firstLineChars="1600"/>
        <w:rPr>
          <w:rFonts w:hint="eastAsia" w:asciiTheme="minorEastAsia" w:hAnsiTheme="minorEastAsia" w:eastAsiaTheme="minorEastAsia" w:cstheme="minorEastAsia"/>
          <w:bCs/>
          <w:color w:val="auto"/>
          <w:sz w:val="28"/>
          <w:szCs w:val="28"/>
          <w:highlight w:val="none"/>
        </w:rPr>
      </w:pPr>
      <w:r>
        <w:rPr>
          <w:rFonts w:hint="eastAsia" w:asciiTheme="minorEastAsia" w:hAnsiTheme="minorEastAsia" w:eastAsiaTheme="minorEastAsia" w:cstheme="minorEastAsia"/>
          <w:bCs/>
          <w:color w:val="auto"/>
          <w:sz w:val="28"/>
          <w:szCs w:val="28"/>
          <w:highlight w:val="none"/>
        </w:rPr>
        <w:t>江苏信达建设工程咨询有限公司</w:t>
      </w:r>
    </w:p>
    <w:p w14:paraId="0ED898D3">
      <w:pPr>
        <w:pStyle w:val="10"/>
        <w:spacing w:line="360" w:lineRule="auto"/>
        <w:ind w:firstLine="0" w:firstLineChars="0"/>
        <w:jc w:val="center"/>
        <w:rPr>
          <w:rFonts w:hint="eastAsia" w:asciiTheme="minorEastAsia" w:hAnsiTheme="minorEastAsia" w:eastAsiaTheme="minorEastAsia" w:cstheme="minorEastAsia"/>
          <w:bCs/>
          <w:color w:val="auto"/>
          <w:sz w:val="28"/>
          <w:szCs w:val="28"/>
          <w:highlight w:val="none"/>
        </w:rPr>
      </w:pPr>
      <w:r>
        <w:rPr>
          <w:rFonts w:hint="eastAsia" w:asciiTheme="minorEastAsia" w:hAnsiTheme="minorEastAsia" w:eastAsiaTheme="minorEastAsia" w:cstheme="minorEastAsia"/>
          <w:bCs/>
          <w:color w:val="auto"/>
          <w:sz w:val="28"/>
          <w:szCs w:val="28"/>
          <w:highlight w:val="none"/>
        </w:rPr>
        <w:t xml:space="preserve">                                </w:t>
      </w:r>
      <w:r>
        <w:rPr>
          <w:rFonts w:hint="eastAsia" w:asciiTheme="minorEastAsia" w:hAnsiTheme="minorEastAsia" w:eastAsiaTheme="minorEastAsia" w:cstheme="minorEastAsia"/>
          <w:bCs/>
          <w:color w:val="auto"/>
          <w:sz w:val="28"/>
          <w:szCs w:val="28"/>
          <w:highlight w:val="none"/>
          <w:lang w:val="en-US" w:eastAsia="zh-CN"/>
        </w:rPr>
        <w:t xml:space="preserve">     </w:t>
      </w:r>
      <w:r>
        <w:rPr>
          <w:rFonts w:hint="eastAsia" w:asciiTheme="minorEastAsia" w:hAnsiTheme="minorEastAsia" w:eastAsiaTheme="minorEastAsia" w:cstheme="minorEastAsia"/>
          <w:bCs/>
          <w:color w:val="auto"/>
          <w:sz w:val="28"/>
          <w:szCs w:val="28"/>
          <w:highlight w:val="none"/>
        </w:rPr>
        <w:t xml:space="preserve">   </w:t>
      </w:r>
      <w:r>
        <w:rPr>
          <w:rFonts w:hint="eastAsia" w:asciiTheme="minorEastAsia" w:hAnsiTheme="minorEastAsia" w:eastAsiaTheme="minorEastAsia" w:cstheme="minorEastAsia"/>
          <w:bCs/>
          <w:color w:val="auto"/>
          <w:sz w:val="28"/>
          <w:szCs w:val="28"/>
          <w:highlight w:val="none"/>
          <w:lang w:val="en-US" w:eastAsia="zh-CN"/>
        </w:rPr>
        <w:t xml:space="preserve"> </w:t>
      </w:r>
      <w:r>
        <w:rPr>
          <w:rFonts w:hint="eastAsia" w:asciiTheme="minorEastAsia" w:hAnsiTheme="minorEastAsia" w:eastAsiaTheme="minorEastAsia" w:cstheme="minorEastAsia"/>
          <w:bCs/>
          <w:color w:val="auto"/>
          <w:sz w:val="28"/>
          <w:szCs w:val="28"/>
          <w:highlight w:val="none"/>
        </w:rPr>
        <w:t xml:space="preserve">    202</w:t>
      </w:r>
      <w:r>
        <w:rPr>
          <w:rFonts w:hint="eastAsia" w:asciiTheme="minorEastAsia" w:hAnsiTheme="minorEastAsia" w:eastAsiaTheme="minorEastAsia" w:cstheme="minorEastAsia"/>
          <w:bCs/>
          <w:color w:val="auto"/>
          <w:sz w:val="28"/>
          <w:szCs w:val="28"/>
          <w:highlight w:val="none"/>
          <w:lang w:val="en-US" w:eastAsia="zh-CN"/>
        </w:rPr>
        <w:t>4</w:t>
      </w:r>
      <w:r>
        <w:rPr>
          <w:rFonts w:hint="eastAsia" w:asciiTheme="minorEastAsia" w:hAnsiTheme="minorEastAsia" w:eastAsiaTheme="minorEastAsia" w:cstheme="minorEastAsia"/>
          <w:bCs/>
          <w:color w:val="auto"/>
          <w:sz w:val="28"/>
          <w:szCs w:val="28"/>
          <w:highlight w:val="none"/>
        </w:rPr>
        <w:t>年</w:t>
      </w:r>
      <w:r>
        <w:rPr>
          <w:rFonts w:hint="eastAsia" w:asciiTheme="minorEastAsia" w:hAnsiTheme="minorEastAsia" w:eastAsiaTheme="minorEastAsia" w:cstheme="minorEastAsia"/>
          <w:bCs/>
          <w:color w:val="auto"/>
          <w:sz w:val="28"/>
          <w:szCs w:val="28"/>
          <w:highlight w:val="none"/>
          <w:lang w:val="en-US" w:eastAsia="zh-CN"/>
        </w:rPr>
        <w:t>8</w:t>
      </w:r>
      <w:r>
        <w:rPr>
          <w:rFonts w:hint="eastAsia" w:asciiTheme="minorEastAsia" w:hAnsiTheme="minorEastAsia" w:eastAsiaTheme="minorEastAsia" w:cstheme="minorEastAsia"/>
          <w:bCs/>
          <w:color w:val="auto"/>
          <w:sz w:val="28"/>
          <w:szCs w:val="28"/>
          <w:highlight w:val="none"/>
        </w:rPr>
        <w:t>月</w:t>
      </w:r>
      <w:r>
        <w:rPr>
          <w:rFonts w:hint="eastAsia" w:asciiTheme="minorEastAsia" w:hAnsiTheme="minorEastAsia" w:eastAsiaTheme="minorEastAsia" w:cstheme="minorEastAsia"/>
          <w:bCs/>
          <w:color w:val="auto"/>
          <w:sz w:val="28"/>
          <w:szCs w:val="28"/>
          <w:highlight w:val="none"/>
          <w:lang w:val="en-US" w:eastAsia="zh-CN"/>
        </w:rPr>
        <w:t>22</w:t>
      </w:r>
      <w:r>
        <w:rPr>
          <w:rFonts w:hint="eastAsia" w:asciiTheme="minorEastAsia" w:hAnsiTheme="minorEastAsia" w:eastAsiaTheme="minorEastAsia" w:cstheme="minorEastAsia"/>
          <w:bCs/>
          <w:color w:val="auto"/>
          <w:sz w:val="28"/>
          <w:szCs w:val="28"/>
          <w:highlight w:val="none"/>
        </w:rPr>
        <w:t>日</w:t>
      </w:r>
    </w:p>
    <w:sectPr>
      <w:footerReference r:id="rId3" w:type="default"/>
      <w:pgSz w:w="11906" w:h="16838"/>
      <w:pgMar w:top="1440" w:right="1463" w:bottom="850" w:left="146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91090"/>
    </w:sdtPr>
    <w:sdtContent>
      <w:p w14:paraId="312AB19B">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14:paraId="23C4F339">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03380E"/>
    <w:multiLevelType w:val="multilevel"/>
    <w:tmpl w:val="5F03380E"/>
    <w:lvl w:ilvl="0" w:tentative="0">
      <w:start w:val="1"/>
      <w:numFmt w:val="decimal"/>
      <w:lvlText w:val="%1."/>
      <w:lvlJc w:val="left"/>
      <w:pPr>
        <w:tabs>
          <w:tab w:val="left" w:pos="780"/>
        </w:tabs>
        <w:ind w:left="780" w:hanging="420"/>
      </w:pPr>
      <w:rPr>
        <w:rFonts w:hint="eastAsia"/>
        <w:color w:val="000000"/>
      </w:rPr>
    </w:lvl>
    <w:lvl w:ilvl="1" w:tentative="0">
      <w:start w:val="1"/>
      <w:numFmt w:val="decimal"/>
      <w:lvlText w:val="%2、"/>
      <w:lvlJc w:val="left"/>
      <w:pPr>
        <w:tabs>
          <w:tab w:val="left" w:pos="786"/>
        </w:tabs>
        <w:ind w:left="786" w:hanging="360"/>
      </w:pPr>
      <w:rPr>
        <w:rFonts w:hint="default"/>
      </w:rPr>
    </w:lvl>
    <w:lvl w:ilvl="2" w:tentative="0">
      <w:start w:val="1"/>
      <w:numFmt w:val="decimal"/>
      <w:lvlText w:val="%3"/>
      <w:lvlJc w:val="left"/>
      <w:pPr>
        <w:ind w:left="1200" w:hanging="360"/>
      </w:pPr>
      <w:rPr>
        <w:rFonts w:hint="default"/>
        <w:b/>
      </w:rPr>
    </w:lvl>
    <w:lvl w:ilvl="3" w:tentative="0">
      <w:start w:val="1"/>
      <w:numFmt w:val="decimal"/>
      <w:lvlText w:val="%4、"/>
      <w:lvlJc w:val="left"/>
      <w:pPr>
        <w:ind w:left="1620" w:hanging="360"/>
      </w:pPr>
      <w:rPr>
        <w:rFonts w:hint="default"/>
        <w:b/>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mNzY4NDMwYjQyYjNiN2JkNmY5OTBlYTg1ODI0MmQifQ=="/>
  </w:docVars>
  <w:rsids>
    <w:rsidRoot w:val="2E817FF4"/>
    <w:rsid w:val="000009AD"/>
    <w:rsid w:val="0000612B"/>
    <w:rsid w:val="00022829"/>
    <w:rsid w:val="00035FA7"/>
    <w:rsid w:val="000428F3"/>
    <w:rsid w:val="000501D1"/>
    <w:rsid w:val="00051A78"/>
    <w:rsid w:val="0005239E"/>
    <w:rsid w:val="00060E52"/>
    <w:rsid w:val="0006655A"/>
    <w:rsid w:val="00070609"/>
    <w:rsid w:val="00074983"/>
    <w:rsid w:val="00081357"/>
    <w:rsid w:val="00090F1A"/>
    <w:rsid w:val="00094310"/>
    <w:rsid w:val="000A2E31"/>
    <w:rsid w:val="000C1894"/>
    <w:rsid w:val="000C4419"/>
    <w:rsid w:val="000C7622"/>
    <w:rsid w:val="000C7ADE"/>
    <w:rsid w:val="000D67EC"/>
    <w:rsid w:val="000E04DA"/>
    <w:rsid w:val="000E5826"/>
    <w:rsid w:val="000F6158"/>
    <w:rsid w:val="00102C40"/>
    <w:rsid w:val="0012217E"/>
    <w:rsid w:val="00130F1E"/>
    <w:rsid w:val="0014099C"/>
    <w:rsid w:val="001433F6"/>
    <w:rsid w:val="0014495D"/>
    <w:rsid w:val="00155D30"/>
    <w:rsid w:val="00156C2D"/>
    <w:rsid w:val="00164B7C"/>
    <w:rsid w:val="001727C5"/>
    <w:rsid w:val="001733AC"/>
    <w:rsid w:val="0017441C"/>
    <w:rsid w:val="001A30B8"/>
    <w:rsid w:val="001A46FD"/>
    <w:rsid w:val="001B7384"/>
    <w:rsid w:val="001C6D3B"/>
    <w:rsid w:val="001E27B4"/>
    <w:rsid w:val="001E2B63"/>
    <w:rsid w:val="001F2761"/>
    <w:rsid w:val="00200A06"/>
    <w:rsid w:val="00204DA6"/>
    <w:rsid w:val="002077F7"/>
    <w:rsid w:val="00225D08"/>
    <w:rsid w:val="00233B5E"/>
    <w:rsid w:val="00245EF2"/>
    <w:rsid w:val="00246263"/>
    <w:rsid w:val="00250182"/>
    <w:rsid w:val="00253A3F"/>
    <w:rsid w:val="0026257C"/>
    <w:rsid w:val="002631CC"/>
    <w:rsid w:val="002656B1"/>
    <w:rsid w:val="00285021"/>
    <w:rsid w:val="00292C5B"/>
    <w:rsid w:val="00295B0E"/>
    <w:rsid w:val="002C2E37"/>
    <w:rsid w:val="002C2EE0"/>
    <w:rsid w:val="002C7303"/>
    <w:rsid w:val="002D5BEE"/>
    <w:rsid w:val="002F26C5"/>
    <w:rsid w:val="002F3544"/>
    <w:rsid w:val="00311D43"/>
    <w:rsid w:val="003141C6"/>
    <w:rsid w:val="00315E17"/>
    <w:rsid w:val="00334596"/>
    <w:rsid w:val="003359D5"/>
    <w:rsid w:val="003410BB"/>
    <w:rsid w:val="003456F0"/>
    <w:rsid w:val="00364EB0"/>
    <w:rsid w:val="00370D76"/>
    <w:rsid w:val="00371E37"/>
    <w:rsid w:val="003748FB"/>
    <w:rsid w:val="00381251"/>
    <w:rsid w:val="003815C8"/>
    <w:rsid w:val="003875FC"/>
    <w:rsid w:val="00392454"/>
    <w:rsid w:val="00396A16"/>
    <w:rsid w:val="003A3719"/>
    <w:rsid w:val="003B4C97"/>
    <w:rsid w:val="003B7920"/>
    <w:rsid w:val="003B7DC5"/>
    <w:rsid w:val="003C2CFA"/>
    <w:rsid w:val="003C5F2E"/>
    <w:rsid w:val="003C684B"/>
    <w:rsid w:val="003D2C85"/>
    <w:rsid w:val="003D34CA"/>
    <w:rsid w:val="003E33B1"/>
    <w:rsid w:val="003F2911"/>
    <w:rsid w:val="003F5EEB"/>
    <w:rsid w:val="004113FE"/>
    <w:rsid w:val="00413A14"/>
    <w:rsid w:val="00415F21"/>
    <w:rsid w:val="00422BCD"/>
    <w:rsid w:val="00442FAB"/>
    <w:rsid w:val="0044598D"/>
    <w:rsid w:val="0046122E"/>
    <w:rsid w:val="00471FC9"/>
    <w:rsid w:val="00480012"/>
    <w:rsid w:val="00481A64"/>
    <w:rsid w:val="004820E3"/>
    <w:rsid w:val="00495568"/>
    <w:rsid w:val="00495C4F"/>
    <w:rsid w:val="00496E9E"/>
    <w:rsid w:val="004A0E43"/>
    <w:rsid w:val="004A3FDB"/>
    <w:rsid w:val="004B31C6"/>
    <w:rsid w:val="004B7FFA"/>
    <w:rsid w:val="004C0BC5"/>
    <w:rsid w:val="004C4414"/>
    <w:rsid w:val="004D0825"/>
    <w:rsid w:val="004D5E78"/>
    <w:rsid w:val="004D780D"/>
    <w:rsid w:val="004E4A8B"/>
    <w:rsid w:val="004F16D8"/>
    <w:rsid w:val="0051210A"/>
    <w:rsid w:val="00512A50"/>
    <w:rsid w:val="00522EDE"/>
    <w:rsid w:val="00541A36"/>
    <w:rsid w:val="00553372"/>
    <w:rsid w:val="005533D7"/>
    <w:rsid w:val="00570299"/>
    <w:rsid w:val="00570BF7"/>
    <w:rsid w:val="00571613"/>
    <w:rsid w:val="00571DCE"/>
    <w:rsid w:val="00576330"/>
    <w:rsid w:val="005808B0"/>
    <w:rsid w:val="00593682"/>
    <w:rsid w:val="005A0221"/>
    <w:rsid w:val="005B4E96"/>
    <w:rsid w:val="005C2134"/>
    <w:rsid w:val="005C2C3A"/>
    <w:rsid w:val="0060238C"/>
    <w:rsid w:val="006034DC"/>
    <w:rsid w:val="00607F9E"/>
    <w:rsid w:val="00611D16"/>
    <w:rsid w:val="00630659"/>
    <w:rsid w:val="00646ADB"/>
    <w:rsid w:val="00661733"/>
    <w:rsid w:val="00663EBB"/>
    <w:rsid w:val="00676559"/>
    <w:rsid w:val="00676ADD"/>
    <w:rsid w:val="00683CCE"/>
    <w:rsid w:val="00693A9B"/>
    <w:rsid w:val="006A33D6"/>
    <w:rsid w:val="006A46E5"/>
    <w:rsid w:val="006A5CAA"/>
    <w:rsid w:val="006B6749"/>
    <w:rsid w:val="006D4D41"/>
    <w:rsid w:val="006E48F1"/>
    <w:rsid w:val="006F0FA9"/>
    <w:rsid w:val="00707EE6"/>
    <w:rsid w:val="00716507"/>
    <w:rsid w:val="00722D44"/>
    <w:rsid w:val="00723461"/>
    <w:rsid w:val="00723DB4"/>
    <w:rsid w:val="007248A7"/>
    <w:rsid w:val="00730322"/>
    <w:rsid w:val="00742291"/>
    <w:rsid w:val="00742525"/>
    <w:rsid w:val="0074311B"/>
    <w:rsid w:val="00754454"/>
    <w:rsid w:val="007907B0"/>
    <w:rsid w:val="0079215F"/>
    <w:rsid w:val="007951D4"/>
    <w:rsid w:val="007B31AA"/>
    <w:rsid w:val="007C1354"/>
    <w:rsid w:val="007C7D8F"/>
    <w:rsid w:val="007D27E9"/>
    <w:rsid w:val="007F60E5"/>
    <w:rsid w:val="007F79C2"/>
    <w:rsid w:val="008039B3"/>
    <w:rsid w:val="00820C1B"/>
    <w:rsid w:val="00822A83"/>
    <w:rsid w:val="008275ED"/>
    <w:rsid w:val="008322D6"/>
    <w:rsid w:val="0083240E"/>
    <w:rsid w:val="00836227"/>
    <w:rsid w:val="008427E3"/>
    <w:rsid w:val="0084427A"/>
    <w:rsid w:val="00845155"/>
    <w:rsid w:val="00862868"/>
    <w:rsid w:val="00864446"/>
    <w:rsid w:val="008652C8"/>
    <w:rsid w:val="00871EA5"/>
    <w:rsid w:val="0087353C"/>
    <w:rsid w:val="00885E2E"/>
    <w:rsid w:val="008906DE"/>
    <w:rsid w:val="008953F8"/>
    <w:rsid w:val="008955A4"/>
    <w:rsid w:val="008A0B79"/>
    <w:rsid w:val="008A5684"/>
    <w:rsid w:val="008A72A0"/>
    <w:rsid w:val="008B771F"/>
    <w:rsid w:val="008C01EA"/>
    <w:rsid w:val="008D42B2"/>
    <w:rsid w:val="008E5266"/>
    <w:rsid w:val="008F7245"/>
    <w:rsid w:val="0090589F"/>
    <w:rsid w:val="00906823"/>
    <w:rsid w:val="0091136A"/>
    <w:rsid w:val="00911578"/>
    <w:rsid w:val="009139E2"/>
    <w:rsid w:val="0091739F"/>
    <w:rsid w:val="00921CB5"/>
    <w:rsid w:val="009258C8"/>
    <w:rsid w:val="00931744"/>
    <w:rsid w:val="00932134"/>
    <w:rsid w:val="009356AC"/>
    <w:rsid w:val="00936515"/>
    <w:rsid w:val="00936D1A"/>
    <w:rsid w:val="00941E48"/>
    <w:rsid w:val="00960CC0"/>
    <w:rsid w:val="0097067B"/>
    <w:rsid w:val="00972961"/>
    <w:rsid w:val="00972F0B"/>
    <w:rsid w:val="00973FC2"/>
    <w:rsid w:val="009946F6"/>
    <w:rsid w:val="00994975"/>
    <w:rsid w:val="00995263"/>
    <w:rsid w:val="009A708D"/>
    <w:rsid w:val="009A7E4B"/>
    <w:rsid w:val="009C308C"/>
    <w:rsid w:val="009C5C13"/>
    <w:rsid w:val="009D1561"/>
    <w:rsid w:val="009E2E88"/>
    <w:rsid w:val="009E3CB2"/>
    <w:rsid w:val="009E3F8D"/>
    <w:rsid w:val="009E57B0"/>
    <w:rsid w:val="009E7E39"/>
    <w:rsid w:val="009F13D8"/>
    <w:rsid w:val="009F4D2B"/>
    <w:rsid w:val="00A0263A"/>
    <w:rsid w:val="00A17ECF"/>
    <w:rsid w:val="00A22D88"/>
    <w:rsid w:val="00A31E71"/>
    <w:rsid w:val="00A34AC0"/>
    <w:rsid w:val="00A35E09"/>
    <w:rsid w:val="00A423FB"/>
    <w:rsid w:val="00A430B0"/>
    <w:rsid w:val="00A45ACF"/>
    <w:rsid w:val="00A56BDE"/>
    <w:rsid w:val="00A74B20"/>
    <w:rsid w:val="00A77338"/>
    <w:rsid w:val="00A77D9B"/>
    <w:rsid w:val="00A810CA"/>
    <w:rsid w:val="00A90618"/>
    <w:rsid w:val="00AB04F5"/>
    <w:rsid w:val="00AB39F9"/>
    <w:rsid w:val="00AB6754"/>
    <w:rsid w:val="00AB7688"/>
    <w:rsid w:val="00AD537D"/>
    <w:rsid w:val="00AD6835"/>
    <w:rsid w:val="00AF436E"/>
    <w:rsid w:val="00AF5D4A"/>
    <w:rsid w:val="00AF75A1"/>
    <w:rsid w:val="00B02FA7"/>
    <w:rsid w:val="00B13F1A"/>
    <w:rsid w:val="00B15CAB"/>
    <w:rsid w:val="00B22B9D"/>
    <w:rsid w:val="00B26E27"/>
    <w:rsid w:val="00B3127C"/>
    <w:rsid w:val="00B4169D"/>
    <w:rsid w:val="00B456E9"/>
    <w:rsid w:val="00B50203"/>
    <w:rsid w:val="00B54A46"/>
    <w:rsid w:val="00B56EFB"/>
    <w:rsid w:val="00B60313"/>
    <w:rsid w:val="00B617BD"/>
    <w:rsid w:val="00B625B4"/>
    <w:rsid w:val="00B8518C"/>
    <w:rsid w:val="00B87E9D"/>
    <w:rsid w:val="00B952BD"/>
    <w:rsid w:val="00BA0559"/>
    <w:rsid w:val="00BA51E3"/>
    <w:rsid w:val="00BA7A52"/>
    <w:rsid w:val="00BB667E"/>
    <w:rsid w:val="00BC4AFB"/>
    <w:rsid w:val="00BE169D"/>
    <w:rsid w:val="00BE62FF"/>
    <w:rsid w:val="00C073ED"/>
    <w:rsid w:val="00C07CB6"/>
    <w:rsid w:val="00C15F9D"/>
    <w:rsid w:val="00C3008B"/>
    <w:rsid w:val="00C42AFD"/>
    <w:rsid w:val="00C50294"/>
    <w:rsid w:val="00C646D5"/>
    <w:rsid w:val="00C661F4"/>
    <w:rsid w:val="00C66A5D"/>
    <w:rsid w:val="00C76B6A"/>
    <w:rsid w:val="00C81C5E"/>
    <w:rsid w:val="00C836BD"/>
    <w:rsid w:val="00C964AA"/>
    <w:rsid w:val="00CA43FA"/>
    <w:rsid w:val="00CA63AF"/>
    <w:rsid w:val="00CB498A"/>
    <w:rsid w:val="00CB77B3"/>
    <w:rsid w:val="00CC0EAB"/>
    <w:rsid w:val="00CE582A"/>
    <w:rsid w:val="00CE7F18"/>
    <w:rsid w:val="00CF6390"/>
    <w:rsid w:val="00D02FA8"/>
    <w:rsid w:val="00D0738C"/>
    <w:rsid w:val="00D13F0E"/>
    <w:rsid w:val="00D1642A"/>
    <w:rsid w:val="00D17B68"/>
    <w:rsid w:val="00D27503"/>
    <w:rsid w:val="00D3651A"/>
    <w:rsid w:val="00D42B8F"/>
    <w:rsid w:val="00D450C9"/>
    <w:rsid w:val="00D465FF"/>
    <w:rsid w:val="00D5674D"/>
    <w:rsid w:val="00D64F6B"/>
    <w:rsid w:val="00D65C69"/>
    <w:rsid w:val="00D70706"/>
    <w:rsid w:val="00D710CD"/>
    <w:rsid w:val="00D76FFD"/>
    <w:rsid w:val="00D85966"/>
    <w:rsid w:val="00D863AD"/>
    <w:rsid w:val="00D9322A"/>
    <w:rsid w:val="00DA0D12"/>
    <w:rsid w:val="00DB42B2"/>
    <w:rsid w:val="00DE19C9"/>
    <w:rsid w:val="00DF3975"/>
    <w:rsid w:val="00DF6F8A"/>
    <w:rsid w:val="00E06B5E"/>
    <w:rsid w:val="00E115F8"/>
    <w:rsid w:val="00E1319A"/>
    <w:rsid w:val="00E14270"/>
    <w:rsid w:val="00E21D5D"/>
    <w:rsid w:val="00E24F9F"/>
    <w:rsid w:val="00E37148"/>
    <w:rsid w:val="00E53156"/>
    <w:rsid w:val="00E57556"/>
    <w:rsid w:val="00EA0A77"/>
    <w:rsid w:val="00EA2FDF"/>
    <w:rsid w:val="00EA4BB8"/>
    <w:rsid w:val="00EB0D23"/>
    <w:rsid w:val="00EB2E87"/>
    <w:rsid w:val="00EB68E1"/>
    <w:rsid w:val="00EC2B96"/>
    <w:rsid w:val="00EC3716"/>
    <w:rsid w:val="00EC3C98"/>
    <w:rsid w:val="00EE4945"/>
    <w:rsid w:val="00EF134C"/>
    <w:rsid w:val="00EF225C"/>
    <w:rsid w:val="00F0265C"/>
    <w:rsid w:val="00F17F3B"/>
    <w:rsid w:val="00F2363A"/>
    <w:rsid w:val="00F236B7"/>
    <w:rsid w:val="00F239E5"/>
    <w:rsid w:val="00F30192"/>
    <w:rsid w:val="00F317F1"/>
    <w:rsid w:val="00F330FD"/>
    <w:rsid w:val="00F375BD"/>
    <w:rsid w:val="00F41AC9"/>
    <w:rsid w:val="00F62C33"/>
    <w:rsid w:val="00F63815"/>
    <w:rsid w:val="00F73EE5"/>
    <w:rsid w:val="00F75665"/>
    <w:rsid w:val="00F82008"/>
    <w:rsid w:val="00F85382"/>
    <w:rsid w:val="00F85EA5"/>
    <w:rsid w:val="00F97E67"/>
    <w:rsid w:val="00FA7334"/>
    <w:rsid w:val="00FB6AE3"/>
    <w:rsid w:val="00FC190C"/>
    <w:rsid w:val="00FC2C22"/>
    <w:rsid w:val="00FF171A"/>
    <w:rsid w:val="00FF1B99"/>
    <w:rsid w:val="00FF7DB5"/>
    <w:rsid w:val="01C012ED"/>
    <w:rsid w:val="02C15A63"/>
    <w:rsid w:val="03831590"/>
    <w:rsid w:val="03D743E9"/>
    <w:rsid w:val="03FF32D8"/>
    <w:rsid w:val="040A4AA1"/>
    <w:rsid w:val="040E27E3"/>
    <w:rsid w:val="04CB4231"/>
    <w:rsid w:val="07462294"/>
    <w:rsid w:val="075517F1"/>
    <w:rsid w:val="081E6532"/>
    <w:rsid w:val="08585DDB"/>
    <w:rsid w:val="0878647D"/>
    <w:rsid w:val="09EF67AA"/>
    <w:rsid w:val="0A1C2362"/>
    <w:rsid w:val="0A7447FA"/>
    <w:rsid w:val="0AA112C3"/>
    <w:rsid w:val="0B8D66E4"/>
    <w:rsid w:val="0CA746A5"/>
    <w:rsid w:val="0CE340E1"/>
    <w:rsid w:val="0D3955D8"/>
    <w:rsid w:val="0DC31439"/>
    <w:rsid w:val="0DD86243"/>
    <w:rsid w:val="0E2240AB"/>
    <w:rsid w:val="10881228"/>
    <w:rsid w:val="10B14C22"/>
    <w:rsid w:val="10CE6103"/>
    <w:rsid w:val="11854738"/>
    <w:rsid w:val="138B2894"/>
    <w:rsid w:val="13CD1993"/>
    <w:rsid w:val="14C04951"/>
    <w:rsid w:val="14C85CB3"/>
    <w:rsid w:val="14EC0958"/>
    <w:rsid w:val="17BC41DD"/>
    <w:rsid w:val="188E43B7"/>
    <w:rsid w:val="18A232B8"/>
    <w:rsid w:val="19BD301B"/>
    <w:rsid w:val="1AB5246D"/>
    <w:rsid w:val="1AE96D67"/>
    <w:rsid w:val="1B070315"/>
    <w:rsid w:val="1C22271E"/>
    <w:rsid w:val="1C334EC9"/>
    <w:rsid w:val="1D00374D"/>
    <w:rsid w:val="1D3603DA"/>
    <w:rsid w:val="1D540E0F"/>
    <w:rsid w:val="1D626541"/>
    <w:rsid w:val="1DF47EFC"/>
    <w:rsid w:val="1EE315AF"/>
    <w:rsid w:val="20B038EC"/>
    <w:rsid w:val="20D95C6F"/>
    <w:rsid w:val="20DD52A9"/>
    <w:rsid w:val="2390583C"/>
    <w:rsid w:val="2409047A"/>
    <w:rsid w:val="243378E8"/>
    <w:rsid w:val="24BF7230"/>
    <w:rsid w:val="24EF7670"/>
    <w:rsid w:val="258636AA"/>
    <w:rsid w:val="26A36CCB"/>
    <w:rsid w:val="26B36793"/>
    <w:rsid w:val="27604855"/>
    <w:rsid w:val="278E068C"/>
    <w:rsid w:val="27F2334A"/>
    <w:rsid w:val="281A7810"/>
    <w:rsid w:val="2857142C"/>
    <w:rsid w:val="287E31E4"/>
    <w:rsid w:val="288664B7"/>
    <w:rsid w:val="291E49C7"/>
    <w:rsid w:val="2995606F"/>
    <w:rsid w:val="29C71171"/>
    <w:rsid w:val="2A2B340B"/>
    <w:rsid w:val="2D6230D5"/>
    <w:rsid w:val="2DD948D5"/>
    <w:rsid w:val="2DE55AB4"/>
    <w:rsid w:val="2E817FF4"/>
    <w:rsid w:val="2F0C5571"/>
    <w:rsid w:val="2F4E0764"/>
    <w:rsid w:val="2FE14059"/>
    <w:rsid w:val="30C72CD6"/>
    <w:rsid w:val="30FC114A"/>
    <w:rsid w:val="310D43FB"/>
    <w:rsid w:val="312F7234"/>
    <w:rsid w:val="31352D9B"/>
    <w:rsid w:val="31B55D3B"/>
    <w:rsid w:val="322972C1"/>
    <w:rsid w:val="332B3F69"/>
    <w:rsid w:val="33C24ADF"/>
    <w:rsid w:val="34060532"/>
    <w:rsid w:val="345972B1"/>
    <w:rsid w:val="34C71D0E"/>
    <w:rsid w:val="386C12AB"/>
    <w:rsid w:val="392C0C85"/>
    <w:rsid w:val="39691347"/>
    <w:rsid w:val="39894CA2"/>
    <w:rsid w:val="3A0E20DE"/>
    <w:rsid w:val="3A6D4E67"/>
    <w:rsid w:val="3B64270E"/>
    <w:rsid w:val="3BF1303B"/>
    <w:rsid w:val="3C81109D"/>
    <w:rsid w:val="3CC64D02"/>
    <w:rsid w:val="3CDB07AE"/>
    <w:rsid w:val="3D0D7F2A"/>
    <w:rsid w:val="3D3F50BA"/>
    <w:rsid w:val="3D883A79"/>
    <w:rsid w:val="3E4800C5"/>
    <w:rsid w:val="3FAC01DF"/>
    <w:rsid w:val="3FFB4CC3"/>
    <w:rsid w:val="406B0FB4"/>
    <w:rsid w:val="40FE7817"/>
    <w:rsid w:val="41BA7F36"/>
    <w:rsid w:val="41BD3ED4"/>
    <w:rsid w:val="42570E22"/>
    <w:rsid w:val="42D84EEE"/>
    <w:rsid w:val="43430E5B"/>
    <w:rsid w:val="43D15FA8"/>
    <w:rsid w:val="43FC139E"/>
    <w:rsid w:val="454B082A"/>
    <w:rsid w:val="46061D0B"/>
    <w:rsid w:val="463C19F8"/>
    <w:rsid w:val="46537607"/>
    <w:rsid w:val="466A72E9"/>
    <w:rsid w:val="469D2F78"/>
    <w:rsid w:val="46AE5C4C"/>
    <w:rsid w:val="48CD5988"/>
    <w:rsid w:val="48D415DA"/>
    <w:rsid w:val="48D92FEB"/>
    <w:rsid w:val="490C7C8E"/>
    <w:rsid w:val="49667761"/>
    <w:rsid w:val="49F11610"/>
    <w:rsid w:val="4A7638C4"/>
    <w:rsid w:val="4B023555"/>
    <w:rsid w:val="4CAC5385"/>
    <w:rsid w:val="4D134330"/>
    <w:rsid w:val="4D73233C"/>
    <w:rsid w:val="4D7F41C9"/>
    <w:rsid w:val="4DA135D6"/>
    <w:rsid w:val="4DC63C21"/>
    <w:rsid w:val="4DD80534"/>
    <w:rsid w:val="4E45017D"/>
    <w:rsid w:val="4E591554"/>
    <w:rsid w:val="4E7B3B9E"/>
    <w:rsid w:val="520F125D"/>
    <w:rsid w:val="534F13F6"/>
    <w:rsid w:val="53A64448"/>
    <w:rsid w:val="54091C4C"/>
    <w:rsid w:val="54A21770"/>
    <w:rsid w:val="54DF6509"/>
    <w:rsid w:val="55061CE8"/>
    <w:rsid w:val="552D196B"/>
    <w:rsid w:val="558C464E"/>
    <w:rsid w:val="55A6192E"/>
    <w:rsid w:val="55BF0815"/>
    <w:rsid w:val="55E372D0"/>
    <w:rsid w:val="56743509"/>
    <w:rsid w:val="58E86354"/>
    <w:rsid w:val="59F760A3"/>
    <w:rsid w:val="5AA940C0"/>
    <w:rsid w:val="5AF37B52"/>
    <w:rsid w:val="5B48305A"/>
    <w:rsid w:val="5B991B67"/>
    <w:rsid w:val="5BB24978"/>
    <w:rsid w:val="5BD13050"/>
    <w:rsid w:val="5C065EAB"/>
    <w:rsid w:val="5C2419A9"/>
    <w:rsid w:val="5C814BED"/>
    <w:rsid w:val="5CFC24F8"/>
    <w:rsid w:val="5D211424"/>
    <w:rsid w:val="5E0E3E35"/>
    <w:rsid w:val="5E4A70E9"/>
    <w:rsid w:val="5E626EE0"/>
    <w:rsid w:val="5E822B3F"/>
    <w:rsid w:val="5F2E6A0B"/>
    <w:rsid w:val="5FDF3202"/>
    <w:rsid w:val="6042196D"/>
    <w:rsid w:val="607945BC"/>
    <w:rsid w:val="60A54AAB"/>
    <w:rsid w:val="60C43183"/>
    <w:rsid w:val="61140F11"/>
    <w:rsid w:val="61BB6692"/>
    <w:rsid w:val="626A2EB8"/>
    <w:rsid w:val="62966DA1"/>
    <w:rsid w:val="62C03C99"/>
    <w:rsid w:val="63561CB1"/>
    <w:rsid w:val="63DC4928"/>
    <w:rsid w:val="63DF02D4"/>
    <w:rsid w:val="64DE67DD"/>
    <w:rsid w:val="67A72FE1"/>
    <w:rsid w:val="680F531F"/>
    <w:rsid w:val="68267CC2"/>
    <w:rsid w:val="694035C4"/>
    <w:rsid w:val="694841AF"/>
    <w:rsid w:val="6B245845"/>
    <w:rsid w:val="6BAB1A02"/>
    <w:rsid w:val="6C67530A"/>
    <w:rsid w:val="6CE5513F"/>
    <w:rsid w:val="6D125AA8"/>
    <w:rsid w:val="6D2F00F6"/>
    <w:rsid w:val="6D6545DB"/>
    <w:rsid w:val="6DFC244B"/>
    <w:rsid w:val="6E1F7C4B"/>
    <w:rsid w:val="6E5F42BA"/>
    <w:rsid w:val="6E791F84"/>
    <w:rsid w:val="6E8D31A9"/>
    <w:rsid w:val="6F394D3C"/>
    <w:rsid w:val="70983CE4"/>
    <w:rsid w:val="718A7AD1"/>
    <w:rsid w:val="7209409B"/>
    <w:rsid w:val="727360FD"/>
    <w:rsid w:val="72C542EC"/>
    <w:rsid w:val="72F75FB6"/>
    <w:rsid w:val="73CB0663"/>
    <w:rsid w:val="74033B6B"/>
    <w:rsid w:val="747B1953"/>
    <w:rsid w:val="748F2972"/>
    <w:rsid w:val="74DC6C71"/>
    <w:rsid w:val="75066735"/>
    <w:rsid w:val="75753577"/>
    <w:rsid w:val="757C1BF1"/>
    <w:rsid w:val="75AC63E8"/>
    <w:rsid w:val="769413F2"/>
    <w:rsid w:val="76956082"/>
    <w:rsid w:val="76C2367F"/>
    <w:rsid w:val="77831CF9"/>
    <w:rsid w:val="787B48AE"/>
    <w:rsid w:val="789E3B5E"/>
    <w:rsid w:val="798C63B0"/>
    <w:rsid w:val="79BA116F"/>
    <w:rsid w:val="79BF6786"/>
    <w:rsid w:val="7B0D2392"/>
    <w:rsid w:val="7CC849B8"/>
    <w:rsid w:val="7D452B7C"/>
    <w:rsid w:val="7E372D8F"/>
    <w:rsid w:val="7E8C34AC"/>
    <w:rsid w:val="7EBB1ABF"/>
    <w:rsid w:val="7EED220A"/>
    <w:rsid w:val="7F102368"/>
    <w:rsid w:val="7F4163E1"/>
    <w:rsid w:val="7F5F4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qFormat/>
    <w:uiPriority w:val="0"/>
    <w:rPr>
      <w:sz w:val="18"/>
      <w:szCs w:val="18"/>
    </w:rPr>
  </w:style>
  <w:style w:type="paragraph" w:styleId="3">
    <w:name w:val="footer"/>
    <w:basedOn w:val="1"/>
    <w:link w:val="9"/>
    <w:autoRedefine/>
    <w:qFormat/>
    <w:uiPriority w:val="99"/>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页眉 Char"/>
    <w:basedOn w:val="6"/>
    <w:link w:val="4"/>
    <w:autoRedefine/>
    <w:qFormat/>
    <w:uiPriority w:val="0"/>
    <w:rPr>
      <w:kern w:val="2"/>
      <w:sz w:val="18"/>
      <w:szCs w:val="18"/>
    </w:rPr>
  </w:style>
  <w:style w:type="character" w:customStyle="1" w:styleId="9">
    <w:name w:val="页脚 Char"/>
    <w:basedOn w:val="6"/>
    <w:link w:val="3"/>
    <w:autoRedefine/>
    <w:qFormat/>
    <w:uiPriority w:val="99"/>
    <w:rPr>
      <w:kern w:val="2"/>
      <w:sz w:val="18"/>
      <w:szCs w:val="18"/>
    </w:rPr>
  </w:style>
  <w:style w:type="paragraph" w:styleId="10">
    <w:name w:val="List Paragraph"/>
    <w:basedOn w:val="1"/>
    <w:autoRedefine/>
    <w:qFormat/>
    <w:uiPriority w:val="1"/>
    <w:pPr>
      <w:ind w:firstLine="420" w:firstLineChars="200"/>
    </w:pPr>
    <w:rPr>
      <w:rFonts w:ascii="Times New Roman" w:hAnsi="Times New Roman" w:eastAsia="宋体" w:cs="Times New Roman"/>
    </w:rPr>
  </w:style>
  <w:style w:type="character" w:customStyle="1" w:styleId="11">
    <w:name w:val="批注框文本 Char"/>
    <w:basedOn w:val="6"/>
    <w:link w:val="2"/>
    <w:autoRedefine/>
    <w:qFormat/>
    <w:uiPriority w:val="0"/>
    <w:rPr>
      <w:kern w:val="2"/>
      <w:sz w:val="18"/>
      <w:szCs w:val="18"/>
    </w:rPr>
  </w:style>
  <w:style w:type="paragraph" w:customStyle="1" w:styleId="12">
    <w:name w:val="正文 + 宋体"/>
    <w:basedOn w:val="1"/>
    <w:autoRedefine/>
    <w:qFormat/>
    <w:uiPriority w:val="0"/>
    <w:pPr>
      <w:ind w:left="838" w:leftChars="285" w:hanging="240" w:hangingChars="100"/>
    </w:pPr>
    <w:rPr>
      <w:rFonts w:ascii="Times New Roman" w:hAnsi="Times New Roman" w:eastAsia="宋体" w:cs="Times New Roman"/>
      <w:sz w:val="24"/>
    </w:rPr>
  </w:style>
  <w:style w:type="character" w:customStyle="1" w:styleId="13">
    <w:name w:val="font31"/>
    <w:basedOn w:val="6"/>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ADD021-FFA1-487C-9CB1-85E016FCE4E0}">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2</Pages>
  <Words>986</Words>
  <Characters>1125</Characters>
  <Lines>68</Lines>
  <Paragraphs>19</Paragraphs>
  <TotalTime>24</TotalTime>
  <ScaleCrop>false</ScaleCrop>
  <LinksUpToDate>false</LinksUpToDate>
  <CharactersWithSpaces>1174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2022-05-26T11:05:00Z</dcterms:created>
  <dc:creator>dn</dc:creator>
  <cp:lastModifiedBy>三分之伊</cp:lastModifiedBy>
  <cp:lastPrinted>2022-06-01T01:04:00Z</cp:lastPrinted>
  <dcterms:modified xsi:type="dcterms:W3CDTF">2024-08-23T09:43:08Z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7D09F2FCBA7140C3A34780F6D1AD8ACD_13</vt:lpwstr>
  </property>
</Properties>
</file>